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Arnträskbergen i Bjurholms kommun</w:t>
      </w:r>
    </w:p>
    <w:p>
      <w:r>
        <w:t>Detta dokument behandlar höga naturvärden i avverkningsanmälan Arnträskbergen i Bjurholms kommun. Denna avverkningsanmälan inkom 2025-07-27 och omfattar 1125,5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50 naturvårdsarter hittats: doftticka (VU, §8), finporing (VU), grantickeporing (VU), gräddticka (VU), lappticka (VU), ostticka (VU), rynkskinn (VU), tallbit (VU, §4), ulltickeporing (VU), doftskinn (NT), gammelgransskål (NT), garnlav (NT), granticka (NT), gränsticka (NT), harticka (NT), järpe (NT, §4), knottrig blåslav (NT), Leptoporus mollis (NT), lunglav (NT), rosenticka (NT), skrovellav (NT), spillkråka (NT, §4), stjärntagging (NT), talltita (NT, §4), tretåig hackspett (NT, §4), ullticka (NT), vedskivlav (NT), violettgrå tagellav (NT), vitgrynig nållav (NT), barkticka (S), blodticka (S), bårdlav (S), gullgröppa (S), gulnål (S), gulskölding (S), gytterlav (S), korallrot (S, §8), kornig nållav (S), luddlav (S), mörk husmossa (S), skinnlav (S), stor aspticka (S), stuplav (S), trådticka (S), vedticka (S), ögonpyrola (S), lavskrika (§4), orre (§4), tjäder (§4) och revlummer (§9). Av dessa är 29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465266"/>
            <wp:docPr id="1" name="Picture 1"/>
            <wp:cNvGraphicFramePr>
              <a:graphicFrameLocks noChangeAspect="1"/>
            </wp:cNvGraphicFramePr>
            <a:graphic>
              <a:graphicData uri="http://schemas.openxmlformats.org/drawingml/2006/picture">
                <pic:pic>
                  <pic:nvPicPr>
                    <pic:cNvPr id="0" name="Arnträskbergen karta.png"/>
                    <pic:cNvPicPr/>
                  </pic:nvPicPr>
                  <pic:blipFill>
                    <a:blip r:embed="rId16"/>
                    <a:stretch>
                      <a:fillRect/>
                    </a:stretch>
                  </pic:blipFill>
                  <pic:spPr>
                    <a:xfrm>
                      <a:off x="0" y="0"/>
                      <a:ext cx="5486400" cy="3465266"/>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7141343, E 660933 i SWEREF 99 TM.</w:t>
      </w:r>
    </w:p>
    <w:p>
      <w:r>
        <w:rPr>
          <w:b/>
        </w:rPr>
        <w:t>Doftskinn (NT)</w:t>
      </w:r>
      <w:r>
        <w:t>,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Grantickeporing (VU)</w:t>
      </w:r>
      <w:r>
        <w:t xml:space="preserve"> växer på murken ved och döda fruktkroppar av granticka (NT) och gränsticka (NT). Den förekommer i naturskogsliknade granskogar, gärna i fuktiga miljöer vid källbäckar och liknande. Avverkning av naturskogslika miljöer och av grova granar där grantickeporing förekommer är ett direkt hot mot artens fortlevnad. Gamla granskogar som hyser arten undantas helt från skogsbruk (SLU Artdatabanken, 2024).</w:t>
      </w:r>
    </w:p>
    <w:p>
      <w:r>
        <w:rPr>
          <w:b/>
        </w:rPr>
        <w:t>Gräddticka (VU)</w:t>
      </w:r>
      <w:r>
        <w:t xml:space="preserve"> har klassificerats som en ”gammelskogsindikator” och signalerar granskogar med höga naturvärden. Den kräver miljöer med hög och jämn fuktighet och växtplatserna ligger oftast på näringsrik, fuktig eller blöt mark där lågan och den murkna veden hålls konstant fuktig. Slutavverkning av gammelgranskog är ett direkt hot mot artens existens i landet och artens växtplatser måste undantas från skogsbruk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(SLU Artdatabanken, 2024; Nitare &amp; Skogsstyrelsen, 2019).</w:t>
      </w:r>
    </w:p>
    <w:p>
      <w:r>
        <w:rPr>
          <w:b/>
        </w:rPr>
        <w:t xml:space="preserve">Kornig nållav </w:t>
      </w:r>
      <w:r>
        <w:t>förekommer i skuggiga miljöer med hög luftfuktighet och påträffas främst i gamla skogar eller på gamla träd. Den signalerar höga naturvärden och på lokalerna finns ofta flera ovanliga och rödlistade arter (SLU Artdatabanken, 2024; Nitare &amp; Skogsstyrelsen, 2019).</w:t>
      </w:r>
    </w:p>
    <w:p>
      <w:r>
        <w:rPr>
          <w:b/>
        </w:rPr>
        <w:t>Lappticka (VU)</w:t>
      </w:r>
      <w:r>
        <w:t>, rödlistad som sårbar, är knuten till gamla granskogar med riklig förekomst av död ved. Den klassas som en “urskogsindikator” och alla skogsskötselåtgärder på eller i omedelbar närhet av lokalerna utgör ett hot (Nitare &amp; Skogsstyrelsen, 2019; SLU Artdatabanken, 2024).</w:t>
      </w:r>
    </w:p>
    <w:p>
      <w:r>
        <w:rPr>
          <w:b/>
          <w:i/>
        </w:rPr>
        <w:t xml:space="preserve">Leptoporus mollis </w:t>
      </w:r>
      <w:r>
        <w:rPr>
          <w:b/>
        </w:rPr>
        <w:t>(NT)</w:t>
      </w:r>
      <w:r>
        <w:t xml:space="preserve"> är granens kötticka och har klassificerats som ”gammelskogsindikator”, då den förekommer med ett tydligt optimum i äldre barrskogar, främst fuktiga granskogar. Den har högst signalvärde söder om den naturliga norrlandsgränsen </w:t>
      </w:r>
      <w:r>
        <w:rPr>
          <w:i/>
        </w:rPr>
        <w:t>limes norrlandicus</w:t>
      </w:r>
      <w:r>
        <w:t>, men signalerar vanligtvis höga naturvärden även i Norrland. Arten är knuten till miljöer med konstant luftfuktighet och känslig för uttorkning som en avverkning kan medföra. Den totala populationen bedöms därför ha minskat under de senaste 30 åren och fortsätter att minska i takt med att grankontinuitetsskogar (skogar som inte kalavverkats) minskar i areal, samtidigt som att lämpliga miljöer inte återskapas i samma takt (SLU Artdatabanken, 2024; Nitare &amp; Skogsstyrelsen, 2019).</w:t>
      </w:r>
    </w:p>
    <w:p>
      <w:r>
        <w:rPr>
          <w:b/>
        </w:rPr>
        <w:t>Lunglav (NT)</w:t>
      </w:r>
      <w:r>
        <w:t xml:space="preserve">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(SLU Artdatabanken, 2025; SLU Artdatabanken, 2024; Nitare &amp; Skogsstyrelsen, 2019).</w:t>
      </w:r>
    </w:p>
    <w:p>
      <w:r>
        <w:rPr>
          <w:b/>
        </w:rPr>
        <w:t xml:space="preserve">Mörk husmossa </w:t>
      </w:r>
      <w:r>
        <w:t>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(SLU Artdatabanken, 2024; Nitare &amp; Skogsstyrelsen, 2019).</w:t>
      </w:r>
    </w:p>
    <w:p>
      <w:r>
        <w:rPr>
          <w:b/>
        </w:rPr>
        <w:t xml:space="preserve">Ostticka (VU) </w:t>
      </w:r>
      <w:r>
        <w:t>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(SLU Artdatabanken, 2024; Nitare &amp; Skogsstyrelsen, 2019).</w:t>
      </w:r>
    </w:p>
    <w:p>
      <w:r>
        <w:rPr>
          <w:b/>
        </w:rPr>
        <w:t>Rosenticka (NT)</w:t>
      </w:r>
      <w:r>
        <w:t>,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(Nitare &amp; Skogsstyrelsen, 2019; SLU Artdatabanken, 2024).</w:t>
      </w:r>
    </w:p>
    <w:p>
      <w:r>
        <w:rPr>
          <w:b/>
        </w:rPr>
        <w:t>Rynkskinn (VU)</w:t>
      </w:r>
      <w:r>
        <w:t>,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(Nitare &amp; Skogsstyrelsen, 2019; SLU Artdatabanken, 2024).</w:t>
      </w:r>
    </w:p>
    <w:p>
      <w:r>
        <w:rPr>
          <w:b/>
        </w:rPr>
        <w:t xml:space="preserve">Skinnlav </w:t>
      </w:r>
      <w:r>
        <w:t>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(Nitare &amp; Skogsstyrelsen, 2019).</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(SLU Artdatabanken, 2024; Nitare &amp; Skogsstyrelsen, 2019).</w:t>
      </w:r>
    </w:p>
    <w:p>
      <w:r>
        <w:rPr>
          <w:b/>
        </w:rPr>
        <w:t>Stor aspticka</w:t>
      </w:r>
      <w:r>
        <w:t xml:space="preserve"> är knuten till gamla levande aspar och orsakar karaktäristiska inbuktningar i stammen (så kallad nekroser). Slutavverknings- och gallringsåtgärder i löv- och blandskogsbestånd som innebär att tillgången på grov asp minskar är ett hot mot arten. Det är viktigt att äldre aspar och aspbestånd sparas och för att gynna arten på sikt bör aspinslagen i t.ex. bergbranter, raviner, skogsbryn och kring äldre odlingsmarker generellt sparas i större utsträckning än vad som görs idag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I skogar med suboceaniskt klimat finns det en mycket sällsynt parasit, njurlavsknapp </w:t>
      </w:r>
      <w:r>
        <w:rPr>
          <w:i/>
        </w:rPr>
        <w:t>Pletocarpon nephromeum</w:t>
      </w:r>
      <w:r>
        <w:t xml:space="preserve"> (EN), som växer på stuplav (SLU Artdatabanken, 2024; Nitare &amp; Skogsstyrelsen, 2019).</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Ulltickeporing </w:t>
      </w:r>
      <w:r>
        <w:rPr>
          <w:b/>
          <w:i/>
        </w:rPr>
        <w:t>Skeletocutis brevispora</w:t>
      </w:r>
      <w:r>
        <w:rPr>
          <w:b/>
        </w:rPr>
        <w:t xml:space="preserve"> (VU)</w:t>
      </w:r>
      <w:r>
        <w:t>,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(SLU Artdatabanken, 2024).</w:t>
      </w:r>
    </w:p>
    <w:p>
      <w:r>
        <w:rPr>
          <w:b/>
        </w:rPr>
        <w:t>Violettgrå tagellav (NT)</w:t>
      </w:r>
      <w:r>
        <w:t xml:space="preserve"> växer nästan uteslutande i gamla olikåldriga barrnaturskogar med lång skoglig kontinuitet och är en utmärkt signal på skog med höga naturvärden. Slutavverkning av tidigare aldrig slutavverkad skog (kontinuitetsskog) är det största hotet. Biotopen nyskapas i begränsad omfattning och barrskog äldre än 160 år, där den violettgrå tagellaven huvudsakligen påträffas har minskat med 50% de senaste 50 åren. Lågproduktiv skogsmark där laven förekommer bör undantas från skogsbruk och rika förekomster i äldre granskog bör skyddas. Arten är känslig för uttorkning och det är väsentligt att tillräckligt stora bestånd avsätts (SLU Artdatabanken, 2024; Nitare &amp; Skogsstyrelsen, 2019).</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 xml:space="preserve">Ögonpyrola </w:t>
      </w:r>
      <w:r>
        <w:t>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(Nitare &amp; Skogsstyrelsen, 2019).</w:t>
      </w:r>
    </w:p>
    <w:p>
      <w:pPr>
        <w:pStyle w:val="Heading1"/>
      </w:pPr>
      <w:r>
        <w:t>Fridlysta arter</w:t>
      </w:r>
    </w:p>
    <w:p>
      <w:r>
        <w:t>Följande fridlysta arter har sina livsmiljöer och växtplatser i den avverkningsanmälda skogen: doftticka (VU, §8), tallbit (VU, §4), järpe (NT, §4), spillkråka (NT, §4), talltita (NT, §4), tretåig hackspett (NT, §4), korallrot (S, §8), lavskrika (§4), orre (§4), tjäder (§4) och revlummer (§9).</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Doftticka (VU, §8)</w:t>
      </w:r>
      <w:r>
        <w:t xml:space="preserve"> är rödlistad som sårbar (VU) och fridlyst enligt 8§ artskyddsförordningen. Den är även globalt rödlistad som Nära hotad (NT) vilket innebär att Sverige har ett internationellt ansvar för arten. Doftticka är beroende av hög och jämn luftfuktighet i gamla, ostörda skogsmiljöer och är känslig för snabba förändringar av ljus-/vindförhållanden eller uttorkning. Dofttickan är placerad i toppen av Skogsstyrelsens värdepyramid för bedömning av skog med höga naturvärden och signalerar alltid gamla sälgar och skogsområden med höga naturvärden. Avverkning av värdträd (främst sälg) utgör det största hotet och när gamla och olikåldriga skogar med sälg avverkas försvinner oftast sälgen. Dofttickan har minskat med ca 30 % under de senaste 30 åren (IUCN Redlist, 2024; Nitare &amp; Skogsstyrelsen, 2019; SLU Artdatabanken, 2024).</w:t>
      </w:r>
    </w:p>
    <w:p>
      <w:r>
        <w:rPr>
          <w:b/>
        </w:rPr>
        <w:t>Järpe (NT, §4)</w:t>
      </w:r>
      <w:r>
        <w:t>, rödlistad som nära hotad och prioriterad art i Skogsvårdslagen har häckningsrevir i avverkningsanmälan. Arten har minskat med 25 (10–40)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Arten är fridlyst enligt 8 § artskyddsförordningen (SLU Artdatabanken, 2024; Nitare &amp; Skogsstyrelsen, 2019).</w:t>
      </w:r>
    </w:p>
    <w:p>
      <w:r>
        <w:rPr>
          <w:b/>
        </w:rPr>
        <w:t>Lavskrika (§4)</w:t>
      </w:r>
      <w:r>
        <w:t>, prioriterad art i Skogsvårdslagen, är en mycket stationär fågel, som häckar i äldre, slutna och hänglavsrika barrskogar. Reviren är livslånga med hemområden som varierar mellan 50 och 150 ha. Inom ett revir av hög kvalitet finns det som regel ett eller flera kärnområden (1–20 ha) med relativt tät flerskiktad granskog. Arten missgynnas när flerskiktad skog omförs till enskiktade bestånd och även röjning och hård gallring är starkt negativt. Lavskrikan har relativt stora hemområden och försvinner när den äldre skogen fragmenteras, särskilt allvarligt är när kärnområdena avverkas. (Skogsstyrelsen 2016). Populationen har minskat med 20–40 % de senaste 30 åren. Arten försvinner successivt framför allt vid dess utbredningsgränser (SLU Artdatabanken, 2021).</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r>
        <w:rPr>
          <w:b/>
        </w:rPr>
        <w:t>Tallbit (VU, §4)</w:t>
      </w:r>
      <w:r>
        <w:t>,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(Skogsstyrelsen, 2016).</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Järpe – ekologi samt krav på livsmiljön</w:t>
      </w:r>
    </w:p>
    <w:p>
      <w:r>
        <w:t>Järpe är rödlistad som nära hotad (NT), fridlyst enligt 4§ Artskyddsförordningen och prioriterad art i Skogsvårdslagen. Järpen, som minskat med 25 (10–40) % under de senaste 12 åren, har sina livsmiljöer i tät barrskog med inblandning av lövträd och en väl utvecklad flerskiktad struktur med bärris och yngre eller undertryckta, täta granar i ett lägre skikt, ofta utmed bäckar och åar inne i den skyddande granskogen.</w:t>
      </w:r>
    </w:p>
    <w:p>
      <w:r>
        <w:t>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Lavskrika – ekologi samt krav på livsmiljön</w:t>
      </w:r>
    </w:p>
    <w:p>
      <w:r>
        <w:t>Lavskrikan är fridlyst enligt 4 § artskyddsförordningen (2007:845) och ingår i förteckningen över prioriterade arter i Skogsstyrelsens föreskrifter och allmänna råd (SKSFS 2011:7) bilaga 4.</w:t>
      </w:r>
    </w:p>
    <w:p>
      <w:r>
        <w:t xml:space="preserve">I Skogsstyrelsens vägledning för hänsyn till fåglar står bland annat att: </w:t>
      </w:r>
      <w:r>
        <w:rPr>
          <w:i/>
        </w:rPr>
        <w:t>“Reviren är livslånga med hemområden som varierar mellan 50 och 150 ha. Hemområdena har inga fasta gränser utan det handlar mera om de yttre gränserna för familjegruppernas rörelser. Lavskrikan undviker att förflytta sig över stora öppna områden och hemområdesstorleken är därför större i områden fragmenterade av hyggen och yngre skog än i områden med i sammanhängande äldre skog. Det finns studier som antyder att det inom ett revir bör finnas maximalt 15 % öppna ytor och ungskog. Inom ett revir av hög kvalitet finns det som regel ett eller flera kärnområden (1–20 ha) med relativt tät flerskiktad granskog.”</w:t>
      </w:r>
      <w:r>
        <w:t xml:space="preserve"> Vidare att: </w:t>
      </w:r>
      <w:r>
        <w:rPr>
          <w:i/>
        </w:rPr>
        <w:t>“Arten missgynnas när flerskiktad skog omförs till enskiktade bestånd. Även skogsskötsel med återkommande röjning och hård gallring är starkt negativt. Lavskrikan har relativt stora hemområden och försvinner när den äldre skogen fragmenteras, särskilt allvarligt är när kärnområdena avverkas.”</w:t>
      </w:r>
      <w:r>
        <w:t xml:space="preserve"> (Skogsstyrelsen 2016).</w:t>
      </w:r>
    </w:p>
    <w:p>
      <w:r>
        <w:t>Populationen har minskat med 20–40 % de senaste 30 åren, men i Svensk Fågeltaxerings standardrutter varierar antalet kraftigt och ingen minskning kan skönjas de senaste 18 åren. Arten försvinner successivt framför allt vid dess utbredningsgränser (SLU Artdatabanken, 2022).</w:t>
      </w:r>
    </w:p>
    <w:p>
      <w:pPr>
        <w:pStyle w:val="Heading2"/>
      </w:pPr>
      <w:r>
        <w:t>Referenser – lavskrika</w:t>
      </w:r>
    </w:p>
    <w:p>
      <w:r>
        <w:t xml:space="preserve">Skogsstyrelsen, 2016. </w:t>
      </w:r>
      <w:r>
        <w:rPr>
          <w:i/>
        </w:rPr>
        <w:t xml:space="preserve">Vägledning för hänsyn till fåglar – lavskrika. </w:t>
      </w:r>
      <w:r>
        <w:t>https://www.skogsstyrelsen.se/globalassets/lag-och-tillsyn/artskydd/vagledningar-for-hansyn-till-faglar/lavskrika-vagledning-hansyn.pdf</w:t>
      </w:r>
    </w:p>
    <w:p>
      <w:r>
        <w:t xml:space="preserve">SLU Artdatabanken, 2021. </w:t>
      </w:r>
      <w:r>
        <w:rPr>
          <w:i/>
        </w:rPr>
        <w:t xml:space="preserve">Artfaktablad. Naturvård – artfakta. </w:t>
      </w:r>
      <w:r>
        <w:t>SLU Artdatabanken, Uppsala</w:t>
      </w:r>
    </w:p>
    <w:p>
      <w:pPr>
        <w:pStyle w:val="Heading1"/>
      </w:pPr>
      <w:r>
        <w:t>Lunglav – ekologi samt krav på livsmiljön</w:t>
      </w:r>
    </w:p>
    <w:p>
      <w:r>
        <w:t>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Spillkråka (NT) är rödlistad som nära hotad, fridlyst enligt §4 Artskyddsförordningen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Tallbit (VU, §4) är rödlistad som sårbar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Tjäder – ekologi samt krav på livsmiljön</w:t>
      </w:r>
    </w:p>
    <w:p>
      <w:r>
        <w:t>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(Skogsstyrelsen, 2019).</w:t>
      </w:r>
    </w:p>
    <w:p>
      <w:r>
        <w:t>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(Skogsstyrelsen, 2019).</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Ulltickeporing – ekologi samt krav på livsmiljön</w:t>
      </w:r>
    </w:p>
    <w:p>
      <w:r>
        <w:t xml:space="preserve">Ulltickeporing </w:t>
      </w:r>
      <w:r>
        <w:rPr>
          <w:i/>
        </w:rPr>
        <w:t>Skeletocutis brevispora</w:t>
      </w:r>
      <w:r>
        <w:t xml:space="preserve"> (VU),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t xml:space="preserve">Ulltickeporingen har nyligen delats upp i tre olika arter: </w:t>
      </w:r>
      <w:r>
        <w:rPr>
          <w:i/>
        </w:rPr>
        <w:t xml:space="preserve">Skeletocutis brevispora </w:t>
      </w:r>
      <w:r>
        <w:t>(ulltickeporing)</w:t>
      </w:r>
      <w:r>
        <w:rPr>
          <w:i/>
        </w:rPr>
        <w:t>, Skeletocutis delicata och Skeletocutis exilis</w:t>
      </w:r>
      <w:r>
        <w:t xml:space="preserve"> (Miettinen &amp; Niemelä, 2018). Skeletocutis delicata och Skeletocutis exilis står för närvarande (2020) som ej bedömda i rödlistan.</w:t>
      </w:r>
    </w:p>
    <w:p>
      <w:pPr>
        <w:pStyle w:val="Heading2"/>
      </w:pPr>
      <w:r>
        <w:t>Referenser – ulltickeporing</w:t>
      </w:r>
    </w:p>
    <w:p>
      <w:r>
        <w:t xml:space="preserve">Miettinen, O. &amp; Niemelä, T., 2018. </w:t>
      </w:r>
      <w:r>
        <w:rPr>
          <w:i/>
        </w:rPr>
        <w:t>Two new temperate polypore species of Skeletocutis (Polyporales, Basidiomycota)</w:t>
      </w:r>
      <w:r>
        <w:t>. Ann. Bot. Fennici 55: 195–206.</w:t>
      </w:r>
    </w:p>
    <w:p>
      <w:r>
        <w:t xml:space="preserve">SLU Artdatabanken, 2024. </w:t>
      </w:r>
      <w:r>
        <w:rPr>
          <w:i/>
        </w:rPr>
        <w:t xml:space="preserve">Artfaktablad. Naturvård – artfakta. </w:t>
      </w:r>
      <w:r>
        <w:t>SLU Artdatabanken, Uppsala</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2025-07-27</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